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37" w:rsidRPr="00D2407A" w:rsidRDefault="00320137" w:rsidP="00320137">
      <w:pPr>
        <w:autoSpaceDE w:val="0"/>
        <w:autoSpaceDN w:val="0"/>
        <w:adjustRightInd w:val="0"/>
        <w:jc w:val="center"/>
        <w:rPr>
          <w:rFonts w:cs="Arial"/>
          <w:b/>
          <w:color w:val="000000"/>
          <w:lang w:bidi="ar-SA"/>
        </w:rPr>
      </w:pPr>
      <w:r w:rsidRPr="00D2407A">
        <w:rPr>
          <w:rFonts w:cs="Arial"/>
          <w:b/>
          <w:color w:val="000000"/>
          <w:lang w:bidi="ar-SA"/>
        </w:rPr>
        <w:t>Appendix A</w:t>
      </w:r>
    </w:p>
    <w:p w:rsidR="00320137" w:rsidRPr="00D2407A" w:rsidRDefault="00320137" w:rsidP="00320137">
      <w:pPr>
        <w:autoSpaceDE w:val="0"/>
        <w:autoSpaceDN w:val="0"/>
        <w:adjustRightInd w:val="0"/>
        <w:jc w:val="center"/>
        <w:rPr>
          <w:rFonts w:cs="Arial"/>
          <w:b/>
          <w:color w:val="000000"/>
          <w:lang w:bidi="ar-SA"/>
        </w:rPr>
      </w:pPr>
      <w:r w:rsidRPr="00D2407A">
        <w:rPr>
          <w:rFonts w:cs="Arial"/>
          <w:b/>
          <w:color w:val="000000"/>
          <w:lang w:bidi="ar-SA"/>
        </w:rPr>
        <w:t>Considerations Affecting PC Procurement Decisions</w:t>
      </w:r>
    </w:p>
    <w:p w:rsidR="00320137" w:rsidRPr="00D2407A" w:rsidRDefault="00320137" w:rsidP="00320137">
      <w:pPr>
        <w:autoSpaceDE w:val="0"/>
        <w:autoSpaceDN w:val="0"/>
        <w:adjustRightInd w:val="0"/>
        <w:rPr>
          <w:rFonts w:cs="Arial"/>
          <w:color w:val="000000"/>
          <w:lang w:bidi="ar-SA"/>
        </w:rPr>
      </w:pPr>
    </w:p>
    <w:p w:rsidR="00320137" w:rsidRDefault="00320137" w:rsidP="00320137">
      <w:r w:rsidRPr="00D2407A">
        <w:t xml:space="preserve">Agencies must apply the </w:t>
      </w:r>
      <w:hyperlink r:id="rId7" w:history="1">
        <w:r w:rsidRPr="00D003AC">
          <w:rPr>
            <w:rStyle w:val="Hyperlink"/>
          </w:rPr>
          <w:t>PC Procurement Policy No. 201</w:t>
        </w:r>
      </w:hyperlink>
      <w:r w:rsidRPr="00D2407A">
        <w:t xml:space="preserve"> and its life cycle management practices to decisions on PC procurements valued over $20,000. For these PC procurements, agencies must complete this Appendix A and maintain that documentation in the agency. When an agency submits a decision package for PC procurement funding or requests OCIO approval for such purchases per </w:t>
      </w:r>
      <w:hyperlink r:id="rId8" w:history="1">
        <w:r w:rsidRPr="00CF4B6F">
          <w:rPr>
            <w:rStyle w:val="Hyperlink"/>
          </w:rPr>
          <w:t>OCIO Investment Po</w:t>
        </w:r>
        <w:r w:rsidRPr="00CF4B6F">
          <w:rPr>
            <w:rStyle w:val="Hyperlink"/>
          </w:rPr>
          <w:t>l</w:t>
        </w:r>
        <w:r w:rsidRPr="00CF4B6F">
          <w:rPr>
            <w:rStyle w:val="Hyperlink"/>
          </w:rPr>
          <w:t xml:space="preserve">icy </w:t>
        </w:r>
        <w:r w:rsidR="00882B22" w:rsidRPr="00CF4B6F">
          <w:rPr>
            <w:rStyle w:val="Hyperlink"/>
          </w:rPr>
          <w:t xml:space="preserve">No. </w:t>
        </w:r>
        <w:r w:rsidRPr="00CF4B6F">
          <w:rPr>
            <w:rStyle w:val="Hyperlink"/>
          </w:rPr>
          <w:t>121</w:t>
        </w:r>
      </w:hyperlink>
      <w:r w:rsidRPr="00D2407A">
        <w:t xml:space="preserve">, </w:t>
      </w:r>
      <w:r w:rsidRPr="00CF4B6F">
        <w:t>Appendix A</w:t>
      </w:r>
      <w:r w:rsidRPr="00D2407A">
        <w:t xml:space="preserve"> </w:t>
      </w:r>
      <w:proofErr w:type="gramStart"/>
      <w:r w:rsidRPr="00D2407A">
        <w:t>must be submitted</w:t>
      </w:r>
      <w:proofErr w:type="gramEnd"/>
      <w:r w:rsidRPr="00D2407A">
        <w:t xml:space="preserve"> as part of the purchase justification.  </w:t>
      </w:r>
    </w:p>
    <w:p w:rsidR="00F849FE" w:rsidRPr="00D2407A" w:rsidRDefault="00F849FE" w:rsidP="00320137"/>
    <w:p w:rsidR="00320137" w:rsidRPr="00D2407A" w:rsidRDefault="00320137" w:rsidP="00320137">
      <w:pPr>
        <w:autoSpaceDE w:val="0"/>
        <w:autoSpaceDN w:val="0"/>
        <w:adjustRightInd w:val="0"/>
        <w:rPr>
          <w:rFonts w:cs="Arial"/>
          <w:color w:val="000000"/>
          <w:lang w:bidi="ar-SA"/>
        </w:rPr>
      </w:pPr>
    </w:p>
    <w:p w:rsidR="00320137" w:rsidRPr="00250FA6" w:rsidRDefault="00320137" w:rsidP="00320137">
      <w:pPr>
        <w:pStyle w:val="ListParagraph"/>
        <w:numPr>
          <w:ilvl w:val="0"/>
          <w:numId w:val="31"/>
        </w:numPr>
        <w:autoSpaceDE/>
        <w:autoSpaceDN/>
        <w:adjustRightInd/>
        <w:spacing w:after="0"/>
        <w:contextualSpacing/>
        <w:rPr>
          <w:b w:val="0"/>
        </w:rPr>
      </w:pPr>
      <w:r w:rsidRPr="00D2407A">
        <w:t>Standard Configurations</w:t>
      </w:r>
    </w:p>
    <w:p w:rsidR="00250FA6" w:rsidRPr="00250FA6" w:rsidRDefault="00250FA6" w:rsidP="00250FA6">
      <w:pPr>
        <w:contextualSpacing/>
      </w:pPr>
    </w:p>
    <w:p w:rsidR="00320137" w:rsidRPr="00D2407A" w:rsidRDefault="00320137" w:rsidP="00320137">
      <w:r w:rsidRPr="00D2407A">
        <w:t>Agencies can reduce expenses by purchasing and managing PCs with standard configurations.   Agencies shall procure PCs according to one of the standard configurations, or equivalent configurations established in the agency, listed on the Department of Enterprise S</w:t>
      </w:r>
      <w:r w:rsidR="00DF59A7" w:rsidRPr="00D2407A">
        <w:t xml:space="preserve">ervices (DES) website at: </w:t>
      </w:r>
      <w:hyperlink r:id="rId9" w:history="1">
        <w:r w:rsidR="002A1A62">
          <w:rPr>
            <w:rStyle w:val="Hyperlink"/>
          </w:rPr>
          <w:t>https://des.wa.gov/services/contracting-purchasing/it-contracts-purchasing/technology-master-co</w:t>
        </w:r>
        <w:r w:rsidR="002A1A62">
          <w:rPr>
            <w:rStyle w:val="Hyperlink"/>
          </w:rPr>
          <w:t>n</w:t>
        </w:r>
        <w:r w:rsidR="002A1A62">
          <w:rPr>
            <w:rStyle w:val="Hyperlink"/>
          </w:rPr>
          <w:t>tracts</w:t>
        </w:r>
      </w:hyperlink>
    </w:p>
    <w:p w:rsidR="00320137" w:rsidRPr="00D2407A" w:rsidRDefault="00320137" w:rsidP="00320137"/>
    <w:p w:rsidR="00320137" w:rsidRPr="00D2407A" w:rsidRDefault="00320137" w:rsidP="00320137">
      <w:r w:rsidRPr="00D2407A">
        <w:t>List the configurations, quantities, and costs of the PCs in the proposed procurement. If business or technology circumstances require deviation from a standard configuration, docum</w:t>
      </w:r>
      <w:r w:rsidR="00DF59A7" w:rsidRPr="00D2407A">
        <w:t xml:space="preserve">ent those circumstances below. </w:t>
      </w:r>
      <w:hyperlink r:id="rId10" w:history="1">
        <w:r w:rsidRPr="00D003AC">
          <w:rPr>
            <w:rStyle w:val="Hyperlink"/>
          </w:rPr>
          <w:t>Guideline No. 2</w:t>
        </w:r>
        <w:r w:rsidRPr="00D003AC">
          <w:rPr>
            <w:rStyle w:val="Hyperlink"/>
          </w:rPr>
          <w:t>0</w:t>
        </w:r>
        <w:r w:rsidRPr="00D003AC">
          <w:rPr>
            <w:rStyle w:val="Hyperlink"/>
          </w:rPr>
          <w:t>1.10</w:t>
        </w:r>
      </w:hyperlink>
      <w:r w:rsidRPr="00D2407A">
        <w:t xml:space="preserve"> lists business and technology factors that affect PC configurations.  </w:t>
      </w:r>
    </w:p>
    <w:p w:rsidR="00320137" w:rsidRPr="00D2407A" w:rsidRDefault="00320137" w:rsidP="00320137"/>
    <w:p w:rsidR="00320137" w:rsidRPr="00D2407A" w:rsidRDefault="00320137" w:rsidP="00D2407A">
      <w:r w:rsidRPr="00D2407A">
        <w:t>Note</w:t>
      </w:r>
      <w:r w:rsidR="00DF59A7" w:rsidRPr="00D2407A">
        <w:t>: A</w:t>
      </w:r>
      <w:r w:rsidRPr="00D2407A">
        <w:t xml:space="preserve">ll Information Technology assets purchased, including PCs, must enable compliance with OCIO and agency IT Security Policies. </w:t>
      </w:r>
    </w:p>
    <w:p w:rsidR="00320137" w:rsidRPr="00D2407A" w:rsidRDefault="00320137" w:rsidP="00320137">
      <w:r w:rsidRPr="00D2407A">
        <w:t xml:space="preserve">      </w:t>
      </w:r>
    </w:p>
    <w:p w:rsidR="00500EF1" w:rsidRDefault="00500EF1" w:rsidP="00500EF1">
      <w:pPr>
        <w:framePr w:w="8638" w:h="1003" w:hSpace="180" w:wrap="around" w:vAnchor="text" w:hAnchor="page" w:x="1549" w:y="1"/>
        <w:pBdr>
          <w:top w:val="single" w:sz="6" w:space="1" w:color="auto"/>
          <w:left w:val="single" w:sz="6" w:space="1" w:color="auto"/>
          <w:bottom w:val="single" w:sz="6" w:space="1" w:color="auto"/>
          <w:right w:val="single" w:sz="6" w:space="1" w:color="auto"/>
        </w:pBdr>
      </w:pPr>
    </w:p>
    <w:p w:rsidR="009D7120" w:rsidRDefault="009D7120" w:rsidP="00500EF1">
      <w:pPr>
        <w:framePr w:w="8638" w:h="1003" w:hSpace="180" w:wrap="around" w:vAnchor="text" w:hAnchor="page" w:x="1549" w:y="1"/>
        <w:pBdr>
          <w:top w:val="single" w:sz="6" w:space="1" w:color="auto"/>
          <w:left w:val="single" w:sz="6" w:space="1" w:color="auto"/>
          <w:bottom w:val="single" w:sz="6" w:space="1" w:color="auto"/>
          <w:right w:val="single" w:sz="6" w:space="1" w:color="auto"/>
        </w:pBdr>
      </w:pPr>
    </w:p>
    <w:p w:rsidR="009D7120" w:rsidRDefault="009D7120" w:rsidP="00500EF1">
      <w:pPr>
        <w:framePr w:w="8638" w:h="1003" w:hSpace="180" w:wrap="around" w:vAnchor="text" w:hAnchor="page" w:x="1549" w:y="1"/>
        <w:pBdr>
          <w:top w:val="single" w:sz="6" w:space="1" w:color="auto"/>
          <w:left w:val="single" w:sz="6" w:space="1" w:color="auto"/>
          <w:bottom w:val="single" w:sz="6" w:space="1" w:color="auto"/>
          <w:right w:val="single" w:sz="6" w:space="1" w:color="auto"/>
        </w:pBdr>
      </w:pPr>
    </w:p>
    <w:p w:rsidR="009D7120" w:rsidRDefault="009D7120" w:rsidP="00500EF1">
      <w:pPr>
        <w:framePr w:w="8638" w:h="1003" w:hSpace="180" w:wrap="around" w:vAnchor="text" w:hAnchor="page" w:x="1549" w:y="1"/>
        <w:pBdr>
          <w:top w:val="single" w:sz="6" w:space="1" w:color="auto"/>
          <w:left w:val="single" w:sz="6" w:space="1" w:color="auto"/>
          <w:bottom w:val="single" w:sz="6" w:space="1" w:color="auto"/>
          <w:right w:val="single" w:sz="6" w:space="1" w:color="auto"/>
        </w:pBdr>
      </w:pPr>
    </w:p>
    <w:p w:rsidR="00320137" w:rsidRPr="00D2407A" w:rsidRDefault="00320137" w:rsidP="00320137">
      <w:pPr>
        <w:autoSpaceDE w:val="0"/>
        <w:autoSpaceDN w:val="0"/>
        <w:adjustRightInd w:val="0"/>
        <w:rPr>
          <w:rFonts w:cs="Arial"/>
          <w:color w:val="000000"/>
          <w:lang w:bidi="ar-SA"/>
        </w:rPr>
      </w:pPr>
    </w:p>
    <w:p w:rsidR="00F849FE" w:rsidRPr="00F849FE" w:rsidRDefault="00F849FE" w:rsidP="00F849FE">
      <w:pPr>
        <w:ind w:left="360" w:hanging="360"/>
        <w:contextualSpacing/>
      </w:pPr>
    </w:p>
    <w:p w:rsidR="00320137" w:rsidRPr="00250FA6" w:rsidRDefault="00320137" w:rsidP="00320137">
      <w:pPr>
        <w:pStyle w:val="ListParagraph"/>
        <w:numPr>
          <w:ilvl w:val="0"/>
          <w:numId w:val="33"/>
        </w:numPr>
        <w:autoSpaceDE/>
        <w:autoSpaceDN/>
        <w:adjustRightInd/>
        <w:spacing w:after="0"/>
        <w:contextualSpacing/>
        <w:rPr>
          <w:b w:val="0"/>
        </w:rPr>
      </w:pPr>
      <w:r w:rsidRPr="00D2407A">
        <w:t>Replacement cycle</w:t>
      </w:r>
    </w:p>
    <w:p w:rsidR="00250FA6" w:rsidRPr="00D2407A" w:rsidRDefault="00250FA6" w:rsidP="00250FA6">
      <w:pPr>
        <w:pStyle w:val="ListParagraph"/>
        <w:numPr>
          <w:ilvl w:val="0"/>
          <w:numId w:val="0"/>
        </w:numPr>
        <w:autoSpaceDE/>
        <w:autoSpaceDN/>
        <w:adjustRightInd/>
        <w:spacing w:after="0"/>
        <w:ind w:left="360"/>
        <w:contextualSpacing/>
        <w:rPr>
          <w:b w:val="0"/>
        </w:rPr>
      </w:pPr>
    </w:p>
    <w:p w:rsidR="00320137" w:rsidRPr="00D2407A" w:rsidRDefault="00320137" w:rsidP="00320137">
      <w:pPr>
        <w:contextualSpacing/>
        <w:rPr>
          <w:color w:val="000000"/>
        </w:rPr>
      </w:pPr>
      <w:r w:rsidRPr="00D2407A">
        <w:rPr>
          <w:color w:val="000000"/>
        </w:rPr>
        <w:t>The useful lives for PCs are listed below based on the State Administrative and Accounting (SAAM) Manual:</w:t>
      </w:r>
    </w:p>
    <w:p w:rsidR="00320137" w:rsidRPr="00D2407A" w:rsidRDefault="00320137" w:rsidP="00320137">
      <w:pPr>
        <w:contextualSpacing/>
      </w:pPr>
      <w:r w:rsidRPr="00D2407A">
        <w:tab/>
        <w:t xml:space="preserve">Desktop PCs – four years </w:t>
      </w:r>
    </w:p>
    <w:p w:rsidR="00320137" w:rsidRPr="00D2407A" w:rsidRDefault="00320137" w:rsidP="00320137">
      <w:pPr>
        <w:ind w:firstLine="720"/>
      </w:pPr>
      <w:r w:rsidRPr="00D2407A">
        <w:t xml:space="preserve">Laptops – four years </w:t>
      </w:r>
    </w:p>
    <w:p w:rsidR="00320137" w:rsidRPr="00D2407A" w:rsidRDefault="00320137" w:rsidP="00320137"/>
    <w:p w:rsidR="00320137" w:rsidRPr="00D2407A" w:rsidRDefault="00320137" w:rsidP="00320137">
      <w:r w:rsidRPr="00D2407A">
        <w:t>For planning purposes, a PC's replacement cycle and useful life are the same except when us</w:t>
      </w:r>
      <w:r w:rsidR="00CF4B6F">
        <w:t>ing the Vendor Operating Lease.</w:t>
      </w:r>
      <w:r w:rsidRPr="00D2407A">
        <w:t xml:space="preserve"> The Vendor Operating Lease term, and therefore the replacement cycle, must not exceed 75</w:t>
      </w:r>
      <w:r w:rsidR="00DF59A7" w:rsidRPr="00D2407A">
        <w:t xml:space="preserve"> percent</w:t>
      </w:r>
      <w:r w:rsidRPr="00D2407A">
        <w:t xml:space="preserve"> of the PC useful life.  </w:t>
      </w:r>
    </w:p>
    <w:p w:rsidR="00320137" w:rsidRPr="00D2407A" w:rsidRDefault="00320137" w:rsidP="00320137"/>
    <w:p w:rsidR="00320137" w:rsidRPr="00D2407A" w:rsidRDefault="00320137" w:rsidP="00320137">
      <w:r w:rsidRPr="00D2407A">
        <w:t xml:space="preserve">Agencies shall operate these devices through the applicable replacement cycle at a minimum, unless repairs or upgrades are not cost effective.  </w:t>
      </w:r>
    </w:p>
    <w:p w:rsidR="00320137" w:rsidRPr="00D2407A" w:rsidRDefault="00320137" w:rsidP="00320137"/>
    <w:p w:rsidR="00320137" w:rsidRPr="00D2407A" w:rsidRDefault="00320137" w:rsidP="00320137">
      <w:r w:rsidRPr="00D2407A">
        <w:t>Indicate below the planned replacement cy</w:t>
      </w:r>
      <w:r w:rsidR="00D2407A" w:rsidRPr="00D2407A">
        <w:t xml:space="preserve">cle(s) for the PCs to acquire. </w:t>
      </w:r>
      <w:r w:rsidRPr="00D2407A">
        <w:t>If business or technology circumstances require a different replacement cycle than liste</w:t>
      </w:r>
      <w:r w:rsidR="00D2407A" w:rsidRPr="00D2407A">
        <w:t xml:space="preserve">d above, document them below. </w:t>
      </w:r>
      <w:hyperlink r:id="rId11" w:history="1">
        <w:r w:rsidRPr="00D003AC">
          <w:rPr>
            <w:rStyle w:val="Hyperlink"/>
          </w:rPr>
          <w:t>Guideline No. 201.10</w:t>
        </w:r>
      </w:hyperlink>
      <w:r w:rsidRPr="00D2407A">
        <w:t xml:space="preserve"> lists business and technology factors that affect PC replacement cycles.  </w:t>
      </w:r>
    </w:p>
    <w:p w:rsidR="00320137" w:rsidRDefault="00320137" w:rsidP="00320137">
      <w:pPr>
        <w:rPr>
          <w:color w:val="FF0000"/>
          <w:u w:val="single"/>
        </w:rPr>
      </w:pPr>
      <w:r w:rsidRPr="00D2407A">
        <w:lastRenderedPageBreak/>
        <w:t xml:space="preserve">Note:  </w:t>
      </w:r>
      <w:r w:rsidRPr="00D2407A">
        <w:rPr>
          <w:color w:val="000000"/>
        </w:rPr>
        <w:t>Agencies must receive OFM Accounting Division prior written approval to use an alternative useful life. See</w:t>
      </w:r>
      <w:r w:rsidRPr="00D2407A">
        <w:t xml:space="preserve"> </w:t>
      </w:r>
      <w:hyperlink r:id="rId12" w:history="1">
        <w:r w:rsidRPr="00D2407A">
          <w:rPr>
            <w:rStyle w:val="Hyperlink"/>
          </w:rPr>
          <w:t>State Administration and A</w:t>
        </w:r>
        <w:r w:rsidRPr="00D2407A">
          <w:rPr>
            <w:rStyle w:val="Hyperlink"/>
          </w:rPr>
          <w:t>c</w:t>
        </w:r>
        <w:r w:rsidRPr="00D2407A">
          <w:rPr>
            <w:rStyle w:val="Hyperlink"/>
          </w:rPr>
          <w:t>counting Manual</w:t>
        </w:r>
      </w:hyperlink>
      <w:r w:rsidRPr="00D2407A">
        <w:t xml:space="preserve"> </w:t>
      </w:r>
      <w:r w:rsidRPr="00D2407A">
        <w:rPr>
          <w:color w:val="000000"/>
        </w:rPr>
        <w:t>(SAAM) subsection 30.20.70.c.</w:t>
      </w:r>
      <w:r w:rsidRPr="00D2407A">
        <w:rPr>
          <w:color w:val="FF0000"/>
          <w:u w:val="single"/>
        </w:rPr>
        <w:t xml:space="preserve"> </w:t>
      </w:r>
    </w:p>
    <w:p w:rsidR="00810213" w:rsidRDefault="00810213" w:rsidP="00320137">
      <w:pPr>
        <w:rPr>
          <w:color w:val="FF0000"/>
          <w:u w:val="single"/>
        </w:rPr>
      </w:pPr>
    </w:p>
    <w:p w:rsidR="00810213" w:rsidRDefault="00810213" w:rsidP="00810213">
      <w:pPr>
        <w:framePr w:w="8638" w:h="1003" w:hSpace="180" w:wrap="around" w:vAnchor="text" w:hAnchor="page" w:x="1549" w:y="1"/>
        <w:pBdr>
          <w:top w:val="single" w:sz="6" w:space="1" w:color="auto"/>
          <w:left w:val="single" w:sz="6" w:space="1" w:color="auto"/>
          <w:bottom w:val="single" w:sz="6" w:space="1" w:color="auto"/>
          <w:right w:val="single" w:sz="6" w:space="1" w:color="auto"/>
        </w:pBdr>
      </w:pPr>
    </w:p>
    <w:p w:rsidR="00810213" w:rsidRPr="00D2407A" w:rsidRDefault="00810213" w:rsidP="00320137">
      <w:pPr>
        <w:rPr>
          <w:color w:val="FF0000"/>
          <w:u w:val="single"/>
        </w:rPr>
      </w:pPr>
    </w:p>
    <w:p w:rsidR="00D2407A" w:rsidRPr="00D2407A" w:rsidRDefault="00D2407A" w:rsidP="00320137">
      <w:pPr>
        <w:rPr>
          <w:color w:val="000000"/>
        </w:rPr>
      </w:pPr>
    </w:p>
    <w:p w:rsidR="00320137" w:rsidRDefault="00320137" w:rsidP="00320137">
      <w:pPr>
        <w:pStyle w:val="ListParagraph"/>
        <w:numPr>
          <w:ilvl w:val="0"/>
          <w:numId w:val="33"/>
        </w:numPr>
        <w:autoSpaceDE/>
        <w:autoSpaceDN/>
        <w:adjustRightInd/>
        <w:spacing w:after="0"/>
        <w:contextualSpacing/>
      </w:pPr>
      <w:r w:rsidRPr="00D2407A">
        <w:t>Competitive Purchase Prices</w:t>
      </w:r>
    </w:p>
    <w:p w:rsidR="00F849FE" w:rsidRPr="00D2407A" w:rsidRDefault="00F849FE" w:rsidP="00F849FE">
      <w:pPr>
        <w:pStyle w:val="ListParagraph"/>
        <w:numPr>
          <w:ilvl w:val="0"/>
          <w:numId w:val="0"/>
        </w:numPr>
        <w:autoSpaceDE/>
        <w:autoSpaceDN/>
        <w:adjustRightInd/>
        <w:spacing w:after="0"/>
        <w:ind w:left="360"/>
        <w:contextualSpacing/>
      </w:pPr>
    </w:p>
    <w:p w:rsidR="00320137" w:rsidRPr="00D2407A" w:rsidRDefault="00320137" w:rsidP="00320137">
      <w:r w:rsidRPr="00D2407A">
        <w:t xml:space="preserve">Agencies must satisfy requirements for competitive procurements according to </w:t>
      </w:r>
      <w:r w:rsidR="007E0866">
        <w:fldChar w:fldCharType="begin"/>
      </w:r>
      <w:r w:rsidR="007E0866">
        <w:instrText>HYPERLINK "https://des.wa.gov/about/projects-initiatives/procurement-reform/current-policies"</w:instrText>
      </w:r>
      <w:r w:rsidR="007E0866">
        <w:fldChar w:fldCharType="separate"/>
      </w:r>
      <w:r w:rsidRPr="009D286F">
        <w:rPr>
          <w:rStyle w:val="Hyperlink"/>
        </w:rPr>
        <w:t>Policy</w:t>
      </w:r>
      <w:r w:rsidRPr="009D286F">
        <w:rPr>
          <w:rStyle w:val="Hyperlink"/>
        </w:rPr>
        <w:t xml:space="preserve"> </w:t>
      </w:r>
      <w:r w:rsidRPr="009D286F">
        <w:rPr>
          <w:rStyle w:val="Hyperlink"/>
        </w:rPr>
        <w:t># DES-090-00</w:t>
      </w:r>
      <w:r w:rsidR="007E0866">
        <w:rPr>
          <w:rStyle w:val="Hyperlink"/>
        </w:rPr>
        <w:fldChar w:fldCharType="end"/>
      </w:r>
      <w:r w:rsidR="009D286F">
        <w:t xml:space="preserve">. </w:t>
      </w:r>
      <w:r w:rsidRPr="00D2407A">
        <w:t xml:space="preserve">If the agency chooses to use  a master contract or a Western States Contracting Alliance (WSCA) contract, the agency must contact </w:t>
      </w:r>
      <w:r w:rsidRPr="00D2407A">
        <w:rPr>
          <w:color w:val="000000"/>
        </w:rPr>
        <w:t>the master contract vendor</w:t>
      </w:r>
      <w:r w:rsidRPr="00D2407A">
        <w:t xml:space="preserve"> at the time of purchase to determine </w:t>
      </w:r>
      <w:r w:rsidRPr="00D2407A">
        <w:rPr>
          <w:color w:val="000000"/>
        </w:rPr>
        <w:t xml:space="preserve">if better current pricing is available than contract prices. Alternatively, an agency may conduct a competitive procurement to obtain the best value for the state. </w:t>
      </w:r>
      <w:r w:rsidRPr="00D2407A">
        <w:t xml:space="preserve">See </w:t>
      </w:r>
      <w:hyperlink r:id="rId13" w:history="1">
        <w:r w:rsidRPr="00D003AC">
          <w:rPr>
            <w:rStyle w:val="Hyperlink"/>
          </w:rPr>
          <w:t>Guideline No. 201.10</w:t>
        </w:r>
      </w:hyperlink>
      <w:r w:rsidRPr="00D2407A">
        <w:t xml:space="preserve"> for circumstances affecting contract and current market prices.</w:t>
      </w:r>
    </w:p>
    <w:p w:rsidR="00320137" w:rsidRPr="00D2407A" w:rsidRDefault="00320137" w:rsidP="00320137"/>
    <w:p w:rsidR="00320137" w:rsidRPr="00D2407A" w:rsidRDefault="00320137" w:rsidP="00320137">
      <w:r w:rsidRPr="00D2407A">
        <w:t>Describe below how the agency:</w:t>
      </w:r>
    </w:p>
    <w:p w:rsidR="00320137" w:rsidRPr="00D2407A" w:rsidRDefault="00320137" w:rsidP="00320137">
      <w:pPr>
        <w:pStyle w:val="ListParagraph"/>
        <w:numPr>
          <w:ilvl w:val="0"/>
          <w:numId w:val="32"/>
        </w:numPr>
        <w:rPr>
          <w:b w:val="0"/>
        </w:rPr>
      </w:pPr>
      <w:r w:rsidRPr="00D2407A">
        <w:rPr>
          <w:b w:val="0"/>
        </w:rPr>
        <w:t>Compared current market prices to contract prices and took the lower of the two, or,</w:t>
      </w:r>
    </w:p>
    <w:p w:rsidR="00320137" w:rsidRPr="00D2407A" w:rsidRDefault="00320137" w:rsidP="00320137">
      <w:pPr>
        <w:pStyle w:val="ListParagraph"/>
        <w:numPr>
          <w:ilvl w:val="0"/>
          <w:numId w:val="32"/>
        </w:numPr>
        <w:rPr>
          <w:b w:val="0"/>
        </w:rPr>
      </w:pPr>
      <w:r w:rsidRPr="00D2407A">
        <w:rPr>
          <w:b w:val="0"/>
        </w:rPr>
        <w:t xml:space="preserve">Conducted a competitive acquisition to obtain the proposed prices for this procurement    </w:t>
      </w:r>
    </w:p>
    <w:p w:rsidR="00320137" w:rsidRPr="00D2407A" w:rsidRDefault="00320137" w:rsidP="00320137">
      <w:pPr>
        <w:autoSpaceDE w:val="0"/>
        <w:autoSpaceDN w:val="0"/>
        <w:adjustRightInd w:val="0"/>
        <w:rPr>
          <w:rFonts w:cs="Arial"/>
          <w:color w:val="000000"/>
          <w:lang w:bidi="ar-SA"/>
        </w:rPr>
      </w:pPr>
    </w:p>
    <w:p w:rsidR="00810213" w:rsidRDefault="00810213" w:rsidP="00810213">
      <w:pPr>
        <w:framePr w:w="8638" w:h="1003" w:hSpace="180" w:wrap="around" w:vAnchor="text" w:hAnchor="page" w:x="1549" w:y="1"/>
        <w:pBdr>
          <w:top w:val="single" w:sz="6" w:space="1" w:color="auto"/>
          <w:left w:val="single" w:sz="6" w:space="1" w:color="auto"/>
          <w:bottom w:val="single" w:sz="6" w:space="1" w:color="auto"/>
          <w:right w:val="single" w:sz="6" w:space="1" w:color="auto"/>
        </w:pBdr>
      </w:pPr>
    </w:p>
    <w:p w:rsidR="00320137" w:rsidRPr="00D2407A" w:rsidRDefault="00320137" w:rsidP="00320137">
      <w:pPr>
        <w:autoSpaceDE w:val="0"/>
        <w:autoSpaceDN w:val="0"/>
        <w:adjustRightInd w:val="0"/>
        <w:rPr>
          <w:rFonts w:cs="Arial"/>
          <w:color w:val="000000"/>
          <w:lang w:bidi="ar-SA"/>
        </w:rPr>
      </w:pPr>
    </w:p>
    <w:p w:rsidR="00320137" w:rsidRPr="00D2407A" w:rsidRDefault="00320137" w:rsidP="00320137">
      <w:pPr>
        <w:autoSpaceDE w:val="0"/>
        <w:autoSpaceDN w:val="0"/>
        <w:adjustRightInd w:val="0"/>
        <w:rPr>
          <w:rFonts w:cs="Arial"/>
          <w:color w:val="000000"/>
          <w:lang w:bidi="ar-SA"/>
        </w:rPr>
      </w:pPr>
    </w:p>
    <w:p w:rsidR="00320137" w:rsidRPr="00F849FE" w:rsidRDefault="00320137" w:rsidP="00320137">
      <w:pPr>
        <w:pStyle w:val="ListParagraph"/>
        <w:numPr>
          <w:ilvl w:val="0"/>
          <w:numId w:val="33"/>
        </w:numPr>
        <w:autoSpaceDE/>
        <w:autoSpaceDN/>
        <w:adjustRightInd/>
        <w:spacing w:after="0"/>
        <w:contextualSpacing/>
        <w:rPr>
          <w:b w:val="0"/>
        </w:rPr>
      </w:pPr>
      <w:r w:rsidRPr="00D2407A">
        <w:t xml:space="preserve">Acquisition Alignment with the Agency Budget </w:t>
      </w:r>
    </w:p>
    <w:p w:rsidR="00F849FE" w:rsidRPr="00D2407A" w:rsidRDefault="00F849FE" w:rsidP="00F849FE">
      <w:pPr>
        <w:pStyle w:val="ListParagraph"/>
        <w:numPr>
          <w:ilvl w:val="0"/>
          <w:numId w:val="0"/>
        </w:numPr>
        <w:autoSpaceDE/>
        <w:autoSpaceDN/>
        <w:adjustRightInd/>
        <w:spacing w:after="0"/>
        <w:ind w:left="360"/>
        <w:contextualSpacing/>
        <w:rPr>
          <w:b w:val="0"/>
        </w:rPr>
      </w:pPr>
    </w:p>
    <w:p w:rsidR="00320137" w:rsidRPr="00D2407A" w:rsidRDefault="00320137" w:rsidP="00320137">
      <w:r w:rsidRPr="00D2407A">
        <w:t>Agencies should include the costs for systematic and incremental PC replacement and acquisitions in the</w:t>
      </w:r>
      <w:r w:rsidR="0074090F">
        <w:t xml:space="preserve"> agency base operating budget. </w:t>
      </w:r>
      <w:r w:rsidRPr="00D2407A">
        <w:t xml:space="preserve">This avoids large variations in expense and the need to make special legislative budget requests.    </w:t>
      </w:r>
    </w:p>
    <w:p w:rsidR="00320137" w:rsidRPr="00D2407A" w:rsidRDefault="00320137" w:rsidP="00320137"/>
    <w:p w:rsidR="00320137" w:rsidRPr="00D2407A" w:rsidRDefault="00320137" w:rsidP="00320137">
      <w:r w:rsidRPr="00D2407A">
        <w:t xml:space="preserve">Indicate below whether the total cost and timing of the proposed procurement is within the agency budget. If not, provide business or technical reasons for the variance from budget. See </w:t>
      </w:r>
      <w:hyperlink r:id="rId14" w:history="1">
        <w:r w:rsidRPr="00B74002">
          <w:rPr>
            <w:rStyle w:val="Hyperlink"/>
          </w:rPr>
          <w:t>Guideline No. 201.10 Section 4</w:t>
        </w:r>
      </w:hyperlink>
      <w:r w:rsidRPr="00D2407A">
        <w:t xml:space="preserve">. </w:t>
      </w:r>
    </w:p>
    <w:p w:rsidR="00320137" w:rsidRPr="00D2407A" w:rsidRDefault="00320137" w:rsidP="00320137"/>
    <w:p w:rsidR="00320137" w:rsidRPr="00D2407A" w:rsidRDefault="00320137" w:rsidP="00320137"/>
    <w:p w:rsidR="00810213" w:rsidRDefault="00810213" w:rsidP="00810213">
      <w:pPr>
        <w:framePr w:w="8638" w:h="1003" w:hSpace="180" w:wrap="around" w:vAnchor="text" w:hAnchor="page" w:x="1549" w:y="1"/>
        <w:pBdr>
          <w:top w:val="single" w:sz="6" w:space="1" w:color="auto"/>
          <w:left w:val="single" w:sz="6" w:space="1" w:color="auto"/>
          <w:bottom w:val="single" w:sz="6" w:space="1" w:color="auto"/>
          <w:right w:val="single" w:sz="6" w:space="1" w:color="auto"/>
        </w:pBdr>
      </w:pPr>
    </w:p>
    <w:p w:rsidR="00320137" w:rsidRPr="00D2407A" w:rsidRDefault="00320137" w:rsidP="00320137"/>
    <w:p w:rsidR="00320137" w:rsidRPr="00D2407A" w:rsidRDefault="00320137" w:rsidP="00320137"/>
    <w:p w:rsidR="00320137" w:rsidRPr="00F849FE" w:rsidRDefault="00320137" w:rsidP="00320137">
      <w:pPr>
        <w:pStyle w:val="ListParagraph"/>
        <w:numPr>
          <w:ilvl w:val="0"/>
          <w:numId w:val="33"/>
        </w:numPr>
        <w:autoSpaceDE/>
        <w:autoSpaceDN/>
        <w:adjustRightInd/>
        <w:spacing w:after="0"/>
        <w:contextualSpacing/>
        <w:rPr>
          <w:b w:val="0"/>
        </w:rPr>
      </w:pPr>
      <w:r w:rsidRPr="00D2407A">
        <w:t>Financing Method</w:t>
      </w:r>
    </w:p>
    <w:p w:rsidR="00F849FE" w:rsidRPr="00D2407A" w:rsidRDefault="00F849FE" w:rsidP="00F849FE">
      <w:pPr>
        <w:pStyle w:val="ListParagraph"/>
        <w:numPr>
          <w:ilvl w:val="0"/>
          <w:numId w:val="0"/>
        </w:numPr>
        <w:autoSpaceDE/>
        <w:autoSpaceDN/>
        <w:adjustRightInd/>
        <w:spacing w:after="0"/>
        <w:ind w:left="360"/>
        <w:contextualSpacing/>
        <w:rPr>
          <w:b w:val="0"/>
        </w:rPr>
      </w:pPr>
    </w:p>
    <w:p w:rsidR="00320137" w:rsidRPr="00D2407A" w:rsidRDefault="00320137" w:rsidP="00320137">
      <w:r w:rsidRPr="00D2407A">
        <w:t>The Department of Enterprise Services (DES) Capital Lease is the preferred financing method for PC procurements.</w:t>
      </w:r>
      <w:r w:rsidRPr="00D2407A">
        <w:rPr>
          <w:color w:val="FF0000"/>
        </w:rPr>
        <w:t xml:space="preserve">  </w:t>
      </w:r>
      <w:r w:rsidRPr="00D2407A">
        <w:t xml:space="preserve">Other financing methods include a cash purchase, purchasing through Certificates of Participation (COP), and vendor operating leases on certain master contracts.   </w:t>
      </w:r>
    </w:p>
    <w:p w:rsidR="00320137" w:rsidRPr="00D2407A" w:rsidRDefault="00320137" w:rsidP="00320137"/>
    <w:p w:rsidR="00320137" w:rsidRPr="00D2407A" w:rsidRDefault="00320137" w:rsidP="00320137">
      <w:r w:rsidRPr="00D2407A">
        <w:lastRenderedPageBreak/>
        <w:t xml:space="preserve">In some business or </w:t>
      </w:r>
      <w:proofErr w:type="gramStart"/>
      <w:r w:rsidRPr="00D2407A">
        <w:t>technology</w:t>
      </w:r>
      <w:proofErr w:type="gramEnd"/>
      <w:r w:rsidRPr="00D2407A">
        <w:t xml:space="preserve"> circumstances (see </w:t>
      </w:r>
      <w:hyperlink r:id="rId15" w:history="1">
        <w:r w:rsidRPr="007E123B">
          <w:rPr>
            <w:rStyle w:val="Hyperlink"/>
          </w:rPr>
          <w:t>Guideline No. 201.10</w:t>
        </w:r>
      </w:hyperlink>
      <w:bookmarkStart w:id="0" w:name="_GoBack"/>
      <w:bookmarkEnd w:id="0"/>
      <w:r w:rsidRPr="00D2407A">
        <w:t>), a different financing method may provide important advantages over purchasing or it may provide lower costs when total lifecycle costs of ow</w:t>
      </w:r>
      <w:r w:rsidR="0074090F">
        <w:t xml:space="preserve">nership are evaluated. </w:t>
      </w:r>
      <w:r w:rsidRPr="00D2407A">
        <w:t>Indicate below the purchase or financing method for the PC procurement and include the rationale if other than the DES Capital Lease.</w:t>
      </w:r>
    </w:p>
    <w:p w:rsidR="00717DDD" w:rsidRDefault="00717DDD" w:rsidP="00717DDD">
      <w:pPr>
        <w:autoSpaceDE w:val="0"/>
        <w:autoSpaceDN w:val="0"/>
        <w:adjustRightInd w:val="0"/>
        <w:rPr>
          <w:rFonts w:cs="Arial"/>
          <w:color w:val="000000"/>
          <w:lang w:bidi="ar-SA"/>
        </w:rPr>
      </w:pPr>
    </w:p>
    <w:p w:rsidR="00810213" w:rsidRDefault="00810213" w:rsidP="00810213">
      <w:pPr>
        <w:framePr w:w="8638" w:h="1003" w:hSpace="180" w:wrap="around" w:vAnchor="text" w:hAnchor="page" w:x="1549" w:y="1"/>
        <w:pBdr>
          <w:top w:val="single" w:sz="6" w:space="1" w:color="auto"/>
          <w:left w:val="single" w:sz="6" w:space="1" w:color="auto"/>
          <w:bottom w:val="single" w:sz="6" w:space="1" w:color="auto"/>
          <w:right w:val="single" w:sz="6" w:space="1" w:color="auto"/>
        </w:pBdr>
      </w:pPr>
    </w:p>
    <w:p w:rsidR="00810213" w:rsidRPr="00D2407A" w:rsidRDefault="00810213" w:rsidP="00717DDD">
      <w:pPr>
        <w:autoSpaceDE w:val="0"/>
        <w:autoSpaceDN w:val="0"/>
        <w:adjustRightInd w:val="0"/>
        <w:rPr>
          <w:rFonts w:cs="Arial"/>
          <w:color w:val="000000"/>
          <w:lang w:bidi="ar-SA"/>
        </w:rPr>
      </w:pPr>
    </w:p>
    <w:sectPr w:rsidR="00810213" w:rsidRPr="00D2407A" w:rsidSect="000E19E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E9" w:rsidRDefault="00811EE9" w:rsidP="004708BA">
      <w:r>
        <w:separator/>
      </w:r>
    </w:p>
    <w:p w:rsidR="00811EE9" w:rsidRDefault="00811EE9"/>
  </w:endnote>
  <w:endnote w:type="continuationSeparator" w:id="0">
    <w:p w:rsidR="00811EE9" w:rsidRDefault="00811EE9" w:rsidP="004708BA">
      <w:r>
        <w:continuationSeparator/>
      </w:r>
    </w:p>
    <w:p w:rsidR="00811EE9" w:rsidRDefault="00811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38" w:rsidRDefault="00A13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47431681"/>
      <w:docPartObj>
        <w:docPartGallery w:val="Page Numbers (Bottom of Page)"/>
        <w:docPartUnique/>
      </w:docPartObj>
    </w:sdtPr>
    <w:sdtEndPr/>
    <w:sdtContent>
      <w:sdt>
        <w:sdtPr>
          <w:rPr>
            <w:rFonts w:cs="Arial"/>
            <w:sz w:val="20"/>
            <w:szCs w:val="20"/>
          </w:rPr>
          <w:id w:val="47431682"/>
          <w:docPartObj>
            <w:docPartGallery w:val="Page Numbers (Top of Page)"/>
            <w:docPartUnique/>
          </w:docPartObj>
        </w:sdtPr>
        <w:sdtEndPr/>
        <w:sdtContent>
          <w:p w:rsidR="00811EE9" w:rsidRPr="009C2911" w:rsidRDefault="00811EE9" w:rsidP="00140886">
            <w:pPr>
              <w:pStyle w:val="Footer"/>
              <w:pBdr>
                <w:top w:val="single" w:sz="12" w:space="1" w:color="1F497D" w:themeColor="text2"/>
              </w:pBdr>
              <w:jc w:val="right"/>
              <w:rPr>
                <w:rFonts w:cs="Arial"/>
                <w:sz w:val="20"/>
                <w:szCs w:val="20"/>
              </w:rPr>
            </w:pPr>
            <w:r w:rsidRPr="009C2911">
              <w:rPr>
                <w:rFonts w:cs="Arial"/>
                <w:sz w:val="20"/>
                <w:szCs w:val="20"/>
              </w:rPr>
              <w:t xml:space="preserve">Page </w:t>
            </w:r>
            <w:r w:rsidR="00F820AF" w:rsidRPr="009C2911">
              <w:rPr>
                <w:rFonts w:cs="Arial"/>
                <w:sz w:val="20"/>
                <w:szCs w:val="20"/>
              </w:rPr>
              <w:fldChar w:fldCharType="begin"/>
            </w:r>
            <w:r w:rsidRPr="009C2911">
              <w:rPr>
                <w:rFonts w:cs="Arial"/>
                <w:sz w:val="20"/>
                <w:szCs w:val="20"/>
              </w:rPr>
              <w:instrText xml:space="preserve"> PAGE </w:instrText>
            </w:r>
            <w:r w:rsidR="00F820AF" w:rsidRPr="009C2911">
              <w:rPr>
                <w:rFonts w:cs="Arial"/>
                <w:sz w:val="20"/>
                <w:szCs w:val="20"/>
              </w:rPr>
              <w:fldChar w:fldCharType="separate"/>
            </w:r>
            <w:r w:rsidR="007E0866">
              <w:rPr>
                <w:rFonts w:cs="Arial"/>
                <w:noProof/>
                <w:sz w:val="20"/>
                <w:szCs w:val="20"/>
              </w:rPr>
              <w:t>2</w:t>
            </w:r>
            <w:r w:rsidR="00F820AF" w:rsidRPr="009C2911">
              <w:rPr>
                <w:rFonts w:cs="Arial"/>
                <w:sz w:val="20"/>
                <w:szCs w:val="20"/>
              </w:rPr>
              <w:fldChar w:fldCharType="end"/>
            </w:r>
            <w:r w:rsidRPr="009C2911">
              <w:rPr>
                <w:rFonts w:cs="Arial"/>
                <w:sz w:val="20"/>
                <w:szCs w:val="20"/>
              </w:rPr>
              <w:t xml:space="preserve"> of </w:t>
            </w:r>
            <w:r w:rsidR="00F820AF" w:rsidRPr="009C2911">
              <w:rPr>
                <w:rFonts w:cs="Arial"/>
                <w:sz w:val="20"/>
                <w:szCs w:val="20"/>
              </w:rPr>
              <w:fldChar w:fldCharType="begin"/>
            </w:r>
            <w:r w:rsidRPr="009C2911">
              <w:rPr>
                <w:rFonts w:cs="Arial"/>
                <w:sz w:val="20"/>
                <w:szCs w:val="20"/>
              </w:rPr>
              <w:instrText xml:space="preserve"> NUMPAGES  </w:instrText>
            </w:r>
            <w:r w:rsidR="00F820AF" w:rsidRPr="009C2911">
              <w:rPr>
                <w:rFonts w:cs="Arial"/>
                <w:sz w:val="20"/>
                <w:szCs w:val="20"/>
              </w:rPr>
              <w:fldChar w:fldCharType="separate"/>
            </w:r>
            <w:r w:rsidR="007E0866">
              <w:rPr>
                <w:rFonts w:cs="Arial"/>
                <w:noProof/>
                <w:sz w:val="20"/>
                <w:szCs w:val="20"/>
              </w:rPr>
              <w:t>3</w:t>
            </w:r>
            <w:r w:rsidR="00F820AF" w:rsidRPr="009C2911">
              <w:rPr>
                <w:rFonts w:cs="Arial"/>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E9" w:rsidRPr="009C2911" w:rsidRDefault="00811EE9" w:rsidP="009C2911">
    <w:pPr>
      <w:pStyle w:val="Footer"/>
      <w:pBdr>
        <w:top w:val="single" w:sz="12" w:space="1" w:color="1F497D" w:themeColor="text2"/>
      </w:pBdr>
      <w:jc w:val="right"/>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E9" w:rsidRDefault="00811EE9" w:rsidP="004708BA">
      <w:r>
        <w:separator/>
      </w:r>
    </w:p>
    <w:p w:rsidR="00811EE9" w:rsidRDefault="00811EE9"/>
  </w:footnote>
  <w:footnote w:type="continuationSeparator" w:id="0">
    <w:p w:rsidR="00811EE9" w:rsidRDefault="00811EE9" w:rsidP="004708BA">
      <w:r>
        <w:continuationSeparator/>
      </w:r>
    </w:p>
    <w:p w:rsidR="00811EE9" w:rsidRDefault="00811E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38" w:rsidRDefault="00A13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E9" w:rsidRDefault="00811EE9">
    <w:pPr>
      <w:pStyle w:val="Header"/>
      <w:rPr>
        <w:sz w:val="20"/>
        <w:szCs w:val="20"/>
      </w:rPr>
    </w:pPr>
    <w:r w:rsidRPr="004708BA">
      <w:rPr>
        <w:sz w:val="20"/>
        <w:szCs w:val="20"/>
      </w:rPr>
      <w:t>Office of the Chief Information Officer</w:t>
    </w:r>
    <w:r>
      <w:rPr>
        <w:sz w:val="20"/>
        <w:szCs w:val="20"/>
      </w:rPr>
      <w:t>, Washington State</w:t>
    </w:r>
  </w:p>
  <w:p w:rsidR="00811EE9" w:rsidRDefault="00811EE9" w:rsidP="004708BA">
    <w:pPr>
      <w:pStyle w:val="Default"/>
      <w:rPr>
        <w:sz w:val="20"/>
      </w:rPr>
    </w:pPr>
    <w:r>
      <w:rPr>
        <w:sz w:val="20"/>
      </w:rPr>
      <w:t xml:space="preserve">Policy No. </w:t>
    </w:r>
    <w:r w:rsidR="00320137">
      <w:rPr>
        <w:sz w:val="20"/>
      </w:rPr>
      <w:t>201</w:t>
    </w:r>
    <w:r>
      <w:rPr>
        <w:sz w:val="20"/>
      </w:rPr>
      <w:t xml:space="preserve">: </w:t>
    </w:r>
    <w:r w:rsidR="00320137">
      <w:rPr>
        <w:sz w:val="20"/>
      </w:rPr>
      <w:t>PC Procurement Policy</w:t>
    </w:r>
  </w:p>
  <w:p w:rsidR="00320137" w:rsidRDefault="00320137" w:rsidP="004708BA">
    <w:pPr>
      <w:pStyle w:val="Default"/>
      <w:rPr>
        <w:sz w:val="20"/>
      </w:rPr>
    </w:pPr>
    <w:r>
      <w:rPr>
        <w:sz w:val="20"/>
      </w:rPr>
      <w:t>Appendix A – Considerations Affecting PC Procurement Decisions</w:t>
    </w:r>
  </w:p>
  <w:p w:rsidR="00AE7125" w:rsidRPr="004708BA" w:rsidRDefault="00AE7125" w:rsidP="004708BA">
    <w:pPr>
      <w:pStyle w:val="Default"/>
      <w:rPr>
        <w:sz w:val="20"/>
      </w:rPr>
    </w:pPr>
  </w:p>
  <w:p w:rsidR="00811EE9" w:rsidRDefault="00811EE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38" w:rsidRDefault="00A13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AA256C"/>
    <w:multiLevelType w:val="hybridMultilevel"/>
    <w:tmpl w:val="E1D9AB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FE5299"/>
    <w:multiLevelType w:val="hybridMultilevel"/>
    <w:tmpl w:val="ECA70B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23BB0"/>
    <w:multiLevelType w:val="hybridMultilevel"/>
    <w:tmpl w:val="013E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D0033B"/>
    <w:multiLevelType w:val="hybridMultilevel"/>
    <w:tmpl w:val="177C5A08"/>
    <w:lvl w:ilvl="0" w:tplc="B0D8D47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3BD9"/>
    <w:multiLevelType w:val="hybridMultilevel"/>
    <w:tmpl w:val="559C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92D49"/>
    <w:multiLevelType w:val="hybridMultilevel"/>
    <w:tmpl w:val="EC3083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823C7"/>
    <w:multiLevelType w:val="hybridMultilevel"/>
    <w:tmpl w:val="8B6C4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6C5401"/>
    <w:multiLevelType w:val="hybridMultilevel"/>
    <w:tmpl w:val="BCF0FF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3E7AE0"/>
    <w:multiLevelType w:val="hybridMultilevel"/>
    <w:tmpl w:val="5D04F840"/>
    <w:lvl w:ilvl="0" w:tplc="559CA766">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B5CD8"/>
    <w:multiLevelType w:val="hybridMultilevel"/>
    <w:tmpl w:val="9DC41A10"/>
    <w:lvl w:ilvl="0" w:tplc="04090001">
      <w:start w:val="1"/>
      <w:numFmt w:val="bullet"/>
      <w:lvlText w:val=""/>
      <w:lvlJc w:val="left"/>
      <w:pPr>
        <w:tabs>
          <w:tab w:val="num" w:pos="360"/>
        </w:tabs>
        <w:ind w:left="360" w:hanging="360"/>
      </w:pPr>
      <w:rPr>
        <w:rFonts w:ascii="Symbol" w:hAnsi="Symbol" w:hint="default"/>
      </w:rPr>
    </w:lvl>
    <w:lvl w:ilvl="1" w:tplc="B0D8D47C">
      <w:start w:val="1"/>
      <w:numFmt w:val="bullet"/>
      <w:lvlText w:val=""/>
      <w:lvlJc w:val="left"/>
      <w:pPr>
        <w:tabs>
          <w:tab w:val="num" w:pos="1080"/>
        </w:tabs>
        <w:ind w:left="1080" w:hanging="360"/>
      </w:pPr>
      <w:rPr>
        <w:rFonts w:ascii="Symbol" w:hAnsi="Symbol" w:hint="default"/>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0C7BBA"/>
    <w:multiLevelType w:val="hybridMultilevel"/>
    <w:tmpl w:val="D516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853B1C"/>
    <w:multiLevelType w:val="hybridMultilevel"/>
    <w:tmpl w:val="2A2AF454"/>
    <w:lvl w:ilvl="0" w:tplc="04090001">
      <w:start w:val="1"/>
      <w:numFmt w:val="bullet"/>
      <w:lvlText w:val=""/>
      <w:lvlJc w:val="left"/>
      <w:pPr>
        <w:ind w:left="1800" w:hanging="360"/>
      </w:pPr>
      <w:rPr>
        <w:rFonts w:ascii="Symbol" w:hAnsi="Symbol" w:hint="default"/>
      </w:rPr>
    </w:lvl>
    <w:lvl w:ilvl="1" w:tplc="E9002F44">
      <w:numFmt w:val="bullet"/>
      <w:lvlText w:val="•"/>
      <w:lvlJc w:val="left"/>
      <w:pPr>
        <w:ind w:left="2520" w:hanging="360"/>
      </w:pPr>
      <w:rPr>
        <w:rFonts w:ascii="Arial" w:eastAsiaTheme="minorHAnsi" w:hAnsi="Arial" w:cs="Arial" w:hint="default"/>
        <w:sz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C84D0C"/>
    <w:multiLevelType w:val="multilevel"/>
    <w:tmpl w:val="28CA4E24"/>
    <w:lvl w:ilvl="0">
      <w:start w:val="2"/>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682B89"/>
    <w:multiLevelType w:val="hybridMultilevel"/>
    <w:tmpl w:val="BB344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902860"/>
    <w:multiLevelType w:val="hybridMultilevel"/>
    <w:tmpl w:val="55A65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C54BB"/>
    <w:multiLevelType w:val="hybridMultilevel"/>
    <w:tmpl w:val="E48A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36017"/>
    <w:multiLevelType w:val="hybridMultilevel"/>
    <w:tmpl w:val="3008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11893"/>
    <w:multiLevelType w:val="hybridMultilevel"/>
    <w:tmpl w:val="C024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823F9"/>
    <w:multiLevelType w:val="hybridMultilevel"/>
    <w:tmpl w:val="10D4D9B6"/>
    <w:lvl w:ilvl="0" w:tplc="9BD22F4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6450E"/>
    <w:multiLevelType w:val="hybridMultilevel"/>
    <w:tmpl w:val="49A094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9661620"/>
    <w:multiLevelType w:val="hybridMultilevel"/>
    <w:tmpl w:val="6A5013A6"/>
    <w:lvl w:ilvl="0" w:tplc="B0D8D47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B621B"/>
    <w:multiLevelType w:val="hybridMultilevel"/>
    <w:tmpl w:val="D8D027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B08121C"/>
    <w:multiLevelType w:val="multilevel"/>
    <w:tmpl w:val="22F8CDB8"/>
    <w:lvl w:ilvl="0">
      <w:start w:val="1"/>
      <w:numFmt w:val="decimal"/>
      <w:pStyle w:val="ListParagraph"/>
      <w:lvlText w:val="%1."/>
      <w:lvlJc w:val="left"/>
      <w:pPr>
        <w:ind w:left="360" w:hanging="360"/>
      </w:pPr>
    </w:lvl>
    <w:lvl w:ilvl="1">
      <w:start w:val="1"/>
      <w:numFmt w:val="decimal"/>
      <w:pStyle w:val="ListParagraph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FA4444"/>
    <w:multiLevelType w:val="hybridMultilevel"/>
    <w:tmpl w:val="446EB5DC"/>
    <w:lvl w:ilvl="0" w:tplc="85325322">
      <w:start w:val="1"/>
      <w:numFmt w:val="bullet"/>
      <w:pStyle w:val="Listparagraph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54E31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342DD5"/>
    <w:multiLevelType w:val="hybridMultilevel"/>
    <w:tmpl w:val="75B089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63516C"/>
    <w:multiLevelType w:val="multilevel"/>
    <w:tmpl w:val="E19247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8EFE98"/>
    <w:multiLevelType w:val="hybridMultilevel"/>
    <w:tmpl w:val="9B75BB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5DC3755"/>
    <w:multiLevelType w:val="hybridMultilevel"/>
    <w:tmpl w:val="0B3096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E456DE8"/>
    <w:multiLevelType w:val="hybridMultilevel"/>
    <w:tmpl w:val="EFFE71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
  </w:num>
  <w:num w:numId="3">
    <w:abstractNumId w:val="0"/>
  </w:num>
  <w:num w:numId="4">
    <w:abstractNumId w:val="25"/>
  </w:num>
  <w:num w:numId="5">
    <w:abstractNumId w:val="19"/>
  </w:num>
  <w:num w:numId="6">
    <w:abstractNumId w:val="7"/>
  </w:num>
  <w:num w:numId="7">
    <w:abstractNumId w:val="24"/>
  </w:num>
  <w:num w:numId="8">
    <w:abstractNumId w:val="3"/>
  </w:num>
  <w:num w:numId="9">
    <w:abstractNumId w:val="20"/>
  </w:num>
  <w:num w:numId="10">
    <w:abstractNumId w:val="9"/>
  </w:num>
  <w:num w:numId="11">
    <w:abstractNumId w:val="29"/>
  </w:num>
  <w:num w:numId="12">
    <w:abstractNumId w:val="16"/>
  </w:num>
  <w:num w:numId="13">
    <w:abstractNumId w:val="15"/>
  </w:num>
  <w:num w:numId="14">
    <w:abstractNumId w:val="13"/>
  </w:num>
  <w:num w:numId="15">
    <w:abstractNumId w:val="4"/>
  </w:num>
  <w:num w:numId="16">
    <w:abstractNumId w:val="14"/>
  </w:num>
  <w:num w:numId="17">
    <w:abstractNumId w:val="17"/>
  </w:num>
  <w:num w:numId="18">
    <w:abstractNumId w:val="2"/>
  </w:num>
  <w:num w:numId="19">
    <w:abstractNumId w:val="6"/>
  </w:num>
  <w:num w:numId="20">
    <w:abstractNumId w:val="5"/>
  </w:num>
  <w:num w:numId="21">
    <w:abstractNumId w:val="26"/>
  </w:num>
  <w:num w:numId="22">
    <w:abstractNumId w:val="12"/>
  </w:num>
  <w:num w:numId="23">
    <w:abstractNumId w:val="22"/>
  </w:num>
  <w:num w:numId="24">
    <w:abstractNumId w:val="28"/>
  </w:num>
  <w:num w:numId="25">
    <w:abstractNumId w:val="22"/>
  </w:num>
  <w:num w:numId="26">
    <w:abstractNumId w:val="22"/>
  </w:num>
  <w:num w:numId="27">
    <w:abstractNumId w:val="10"/>
  </w:num>
  <w:num w:numId="28">
    <w:abstractNumId w:val="21"/>
  </w:num>
  <w:num w:numId="29">
    <w:abstractNumId w:val="23"/>
  </w:num>
  <w:num w:numId="30">
    <w:abstractNumId w:val="22"/>
  </w:num>
  <w:num w:numId="31">
    <w:abstractNumId w:val="18"/>
  </w:num>
  <w:num w:numId="32">
    <w:abstractNumId w:val="1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9F"/>
    <w:rsid w:val="00015D54"/>
    <w:rsid w:val="000223C7"/>
    <w:rsid w:val="000278E9"/>
    <w:rsid w:val="00031956"/>
    <w:rsid w:val="0003365D"/>
    <w:rsid w:val="00035715"/>
    <w:rsid w:val="00061A4F"/>
    <w:rsid w:val="0007356F"/>
    <w:rsid w:val="00077D60"/>
    <w:rsid w:val="00090C7D"/>
    <w:rsid w:val="000B7FC4"/>
    <w:rsid w:val="000E19E3"/>
    <w:rsid w:val="00112F62"/>
    <w:rsid w:val="001218D0"/>
    <w:rsid w:val="001331B9"/>
    <w:rsid w:val="00140886"/>
    <w:rsid w:val="00142650"/>
    <w:rsid w:val="001C5D23"/>
    <w:rsid w:val="001D0093"/>
    <w:rsid w:val="001E7E77"/>
    <w:rsid w:val="001F0574"/>
    <w:rsid w:val="001F09C5"/>
    <w:rsid w:val="001F67F6"/>
    <w:rsid w:val="0020517B"/>
    <w:rsid w:val="00236829"/>
    <w:rsid w:val="00247C75"/>
    <w:rsid w:val="0025062F"/>
    <w:rsid w:val="00250FA6"/>
    <w:rsid w:val="00291DA2"/>
    <w:rsid w:val="002A1A62"/>
    <w:rsid w:val="002B6ABB"/>
    <w:rsid w:val="002E6898"/>
    <w:rsid w:val="003124FD"/>
    <w:rsid w:val="00320137"/>
    <w:rsid w:val="00336CE5"/>
    <w:rsid w:val="003520C1"/>
    <w:rsid w:val="00355185"/>
    <w:rsid w:val="0038086F"/>
    <w:rsid w:val="003931C2"/>
    <w:rsid w:val="003A3160"/>
    <w:rsid w:val="003A7C41"/>
    <w:rsid w:val="003C352A"/>
    <w:rsid w:val="003D5A87"/>
    <w:rsid w:val="00401611"/>
    <w:rsid w:val="00405DAB"/>
    <w:rsid w:val="00416BAB"/>
    <w:rsid w:val="004177B7"/>
    <w:rsid w:val="0043052C"/>
    <w:rsid w:val="00431E26"/>
    <w:rsid w:val="0043335A"/>
    <w:rsid w:val="004518FC"/>
    <w:rsid w:val="004708BA"/>
    <w:rsid w:val="0048292D"/>
    <w:rsid w:val="00492E6D"/>
    <w:rsid w:val="004B5A9B"/>
    <w:rsid w:val="004C2D50"/>
    <w:rsid w:val="004E64C6"/>
    <w:rsid w:val="004E6C1A"/>
    <w:rsid w:val="00500EF1"/>
    <w:rsid w:val="00510347"/>
    <w:rsid w:val="0052776A"/>
    <w:rsid w:val="005279BF"/>
    <w:rsid w:val="005607E4"/>
    <w:rsid w:val="005658F4"/>
    <w:rsid w:val="005B5E08"/>
    <w:rsid w:val="005D2846"/>
    <w:rsid w:val="005D7C5A"/>
    <w:rsid w:val="00611BFB"/>
    <w:rsid w:val="00612DCA"/>
    <w:rsid w:val="006246C4"/>
    <w:rsid w:val="006429BA"/>
    <w:rsid w:val="00646079"/>
    <w:rsid w:val="00647074"/>
    <w:rsid w:val="00651371"/>
    <w:rsid w:val="00670491"/>
    <w:rsid w:val="006740C7"/>
    <w:rsid w:val="00684DCE"/>
    <w:rsid w:val="006A06C4"/>
    <w:rsid w:val="006A6A2B"/>
    <w:rsid w:val="006B422F"/>
    <w:rsid w:val="006B5155"/>
    <w:rsid w:val="006C1DC3"/>
    <w:rsid w:val="0071378E"/>
    <w:rsid w:val="00713CC2"/>
    <w:rsid w:val="00717DDD"/>
    <w:rsid w:val="00722F65"/>
    <w:rsid w:val="0073319E"/>
    <w:rsid w:val="0074090F"/>
    <w:rsid w:val="007657F3"/>
    <w:rsid w:val="007727A8"/>
    <w:rsid w:val="007757C1"/>
    <w:rsid w:val="007770CF"/>
    <w:rsid w:val="00780E6D"/>
    <w:rsid w:val="00786647"/>
    <w:rsid w:val="007A39AE"/>
    <w:rsid w:val="007B3119"/>
    <w:rsid w:val="007C6394"/>
    <w:rsid w:val="007E0866"/>
    <w:rsid w:val="007E123B"/>
    <w:rsid w:val="007F2775"/>
    <w:rsid w:val="00810213"/>
    <w:rsid w:val="0081187F"/>
    <w:rsid w:val="00811EE9"/>
    <w:rsid w:val="00815C4C"/>
    <w:rsid w:val="00823F90"/>
    <w:rsid w:val="008266C2"/>
    <w:rsid w:val="00831721"/>
    <w:rsid w:val="00840DDF"/>
    <w:rsid w:val="00842657"/>
    <w:rsid w:val="00857199"/>
    <w:rsid w:val="00866459"/>
    <w:rsid w:val="00875439"/>
    <w:rsid w:val="00882B22"/>
    <w:rsid w:val="008918E1"/>
    <w:rsid w:val="008F5837"/>
    <w:rsid w:val="008F5C61"/>
    <w:rsid w:val="00925A1A"/>
    <w:rsid w:val="00956806"/>
    <w:rsid w:val="00980808"/>
    <w:rsid w:val="0098762E"/>
    <w:rsid w:val="009A5B7B"/>
    <w:rsid w:val="009B1C3A"/>
    <w:rsid w:val="009B2DF3"/>
    <w:rsid w:val="009B3365"/>
    <w:rsid w:val="009C2911"/>
    <w:rsid w:val="009D286F"/>
    <w:rsid w:val="009D4672"/>
    <w:rsid w:val="009D6836"/>
    <w:rsid w:val="009D7120"/>
    <w:rsid w:val="009D7478"/>
    <w:rsid w:val="009E253A"/>
    <w:rsid w:val="009F3AD2"/>
    <w:rsid w:val="009F7A93"/>
    <w:rsid w:val="009F7F35"/>
    <w:rsid w:val="00A125EA"/>
    <w:rsid w:val="00A13638"/>
    <w:rsid w:val="00A37F42"/>
    <w:rsid w:val="00A71020"/>
    <w:rsid w:val="00A96028"/>
    <w:rsid w:val="00AA626B"/>
    <w:rsid w:val="00AE246F"/>
    <w:rsid w:val="00AE7125"/>
    <w:rsid w:val="00B16C6F"/>
    <w:rsid w:val="00B737B1"/>
    <w:rsid w:val="00B74002"/>
    <w:rsid w:val="00B91305"/>
    <w:rsid w:val="00B91920"/>
    <w:rsid w:val="00B963DB"/>
    <w:rsid w:val="00BA0D74"/>
    <w:rsid w:val="00BA4D2D"/>
    <w:rsid w:val="00BB3678"/>
    <w:rsid w:val="00C00D41"/>
    <w:rsid w:val="00C167F3"/>
    <w:rsid w:val="00C23267"/>
    <w:rsid w:val="00C3728F"/>
    <w:rsid w:val="00C372AC"/>
    <w:rsid w:val="00C534F9"/>
    <w:rsid w:val="00C53B3E"/>
    <w:rsid w:val="00C840E9"/>
    <w:rsid w:val="00CA4141"/>
    <w:rsid w:val="00CB11EA"/>
    <w:rsid w:val="00CB4D06"/>
    <w:rsid w:val="00CB7DB3"/>
    <w:rsid w:val="00CE7A46"/>
    <w:rsid w:val="00CF11B9"/>
    <w:rsid w:val="00CF4B6F"/>
    <w:rsid w:val="00D003AC"/>
    <w:rsid w:val="00D0509F"/>
    <w:rsid w:val="00D05CA2"/>
    <w:rsid w:val="00D2407A"/>
    <w:rsid w:val="00D37A2B"/>
    <w:rsid w:val="00D5462F"/>
    <w:rsid w:val="00D61091"/>
    <w:rsid w:val="00D860EE"/>
    <w:rsid w:val="00DA1857"/>
    <w:rsid w:val="00DA2E78"/>
    <w:rsid w:val="00DA72D1"/>
    <w:rsid w:val="00DC10AB"/>
    <w:rsid w:val="00DC4B0D"/>
    <w:rsid w:val="00DF198B"/>
    <w:rsid w:val="00DF59A7"/>
    <w:rsid w:val="00DF75DE"/>
    <w:rsid w:val="00E26A2C"/>
    <w:rsid w:val="00E31519"/>
    <w:rsid w:val="00E646F1"/>
    <w:rsid w:val="00E66C5A"/>
    <w:rsid w:val="00E706E0"/>
    <w:rsid w:val="00E71865"/>
    <w:rsid w:val="00E834FE"/>
    <w:rsid w:val="00EB0464"/>
    <w:rsid w:val="00EB2F9C"/>
    <w:rsid w:val="00EC7F20"/>
    <w:rsid w:val="00EE0731"/>
    <w:rsid w:val="00EE73AB"/>
    <w:rsid w:val="00EF08CE"/>
    <w:rsid w:val="00F01016"/>
    <w:rsid w:val="00F01D37"/>
    <w:rsid w:val="00F03C11"/>
    <w:rsid w:val="00F30D56"/>
    <w:rsid w:val="00F311B4"/>
    <w:rsid w:val="00F50855"/>
    <w:rsid w:val="00F577F1"/>
    <w:rsid w:val="00F820AF"/>
    <w:rsid w:val="00F849FE"/>
    <w:rsid w:val="00FD4E92"/>
    <w:rsid w:val="00FE50D8"/>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39E8"/>
  <w15:docId w15:val="{E3971C91-6FA8-4891-8337-201DBEE8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6A"/>
    <w:rPr>
      <w:rFonts w:ascii="Arial" w:hAnsi="Arial"/>
    </w:rPr>
  </w:style>
  <w:style w:type="paragraph" w:styleId="Heading1">
    <w:name w:val="heading 1"/>
    <w:basedOn w:val="Normal"/>
    <w:next w:val="Normal"/>
    <w:link w:val="Heading1Char"/>
    <w:uiPriority w:val="9"/>
    <w:qFormat/>
    <w:rsid w:val="009F7A93"/>
    <w:pPr>
      <w:contextualSpacing/>
      <w:jc w:val="right"/>
      <w:outlineLvl w:val="0"/>
    </w:pPr>
    <w:rPr>
      <w:rFonts w:asciiTheme="majorHAnsi" w:eastAsiaTheme="majorEastAsia" w:hAnsiTheme="majorHAnsi" w:cs="Arial"/>
      <w:bCs/>
      <w:noProof/>
      <w:sz w:val="48"/>
      <w:szCs w:val="28"/>
    </w:rPr>
  </w:style>
  <w:style w:type="paragraph" w:styleId="Heading2">
    <w:name w:val="heading 2"/>
    <w:basedOn w:val="Normal"/>
    <w:next w:val="Normal"/>
    <w:link w:val="Heading2Char"/>
    <w:uiPriority w:val="9"/>
    <w:unhideWhenUsed/>
    <w:qFormat/>
    <w:rsid w:val="005D7C5A"/>
    <w:pPr>
      <w:spacing w:before="200"/>
      <w:jc w:val="right"/>
      <w:outlineLvl w:val="1"/>
    </w:pPr>
    <w:rPr>
      <w:rFonts w:asciiTheme="majorHAnsi" w:eastAsiaTheme="majorEastAsia" w:hAnsiTheme="majorHAnsi" w:cstheme="majorBidi"/>
      <w:b/>
      <w:bCs/>
      <w:sz w:val="32"/>
      <w:szCs w:val="26"/>
    </w:rPr>
  </w:style>
  <w:style w:type="paragraph" w:styleId="Heading3">
    <w:name w:val="heading 3"/>
    <w:basedOn w:val="PolicyHeading1"/>
    <w:next w:val="Normal"/>
    <w:link w:val="Heading3Char"/>
    <w:uiPriority w:val="9"/>
    <w:unhideWhenUsed/>
    <w:qFormat/>
    <w:rsid w:val="0052776A"/>
    <w:pPr>
      <w:outlineLvl w:val="2"/>
    </w:pPr>
  </w:style>
  <w:style w:type="paragraph" w:styleId="Heading4">
    <w:name w:val="heading 4"/>
    <w:basedOn w:val="Normal"/>
    <w:next w:val="Normal"/>
    <w:link w:val="Heading4Char"/>
    <w:uiPriority w:val="9"/>
    <w:semiHidden/>
    <w:unhideWhenUsed/>
    <w:qFormat/>
    <w:rsid w:val="00F03C1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03C1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03C1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03C1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03C1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03C1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A93"/>
    <w:rPr>
      <w:rFonts w:asciiTheme="majorHAnsi" w:eastAsiaTheme="majorEastAsia" w:hAnsiTheme="majorHAnsi" w:cs="Arial"/>
      <w:bCs/>
      <w:noProof/>
      <w:sz w:val="48"/>
      <w:szCs w:val="28"/>
    </w:rPr>
  </w:style>
  <w:style w:type="character" w:customStyle="1" w:styleId="Heading2Char">
    <w:name w:val="Heading 2 Char"/>
    <w:basedOn w:val="DefaultParagraphFont"/>
    <w:link w:val="Heading2"/>
    <w:uiPriority w:val="9"/>
    <w:rsid w:val="005D7C5A"/>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52776A"/>
    <w:rPr>
      <w:rFonts w:ascii="Arial" w:eastAsia="Times New Roman" w:hAnsi="Arial" w:cs="Times New Roman"/>
      <w:b/>
      <w:noProof/>
      <w:sz w:val="24"/>
      <w:szCs w:val="20"/>
      <w:lang w:bidi="ar-SA"/>
    </w:rPr>
  </w:style>
  <w:style w:type="character" w:customStyle="1" w:styleId="Heading4Char">
    <w:name w:val="Heading 4 Char"/>
    <w:basedOn w:val="DefaultParagraphFont"/>
    <w:link w:val="Heading4"/>
    <w:uiPriority w:val="9"/>
    <w:semiHidden/>
    <w:rsid w:val="00F03C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03C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03C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03C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03C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03C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03C1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03C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03C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03C11"/>
    <w:rPr>
      <w:rFonts w:asciiTheme="majorHAnsi" w:eastAsiaTheme="majorEastAsia" w:hAnsiTheme="majorHAnsi" w:cstheme="majorBidi"/>
      <w:i/>
      <w:iCs/>
      <w:spacing w:val="13"/>
      <w:sz w:val="24"/>
      <w:szCs w:val="24"/>
    </w:rPr>
  </w:style>
  <w:style w:type="character" w:styleId="Strong">
    <w:name w:val="Strong"/>
    <w:uiPriority w:val="22"/>
    <w:rsid w:val="00F03C11"/>
    <w:rPr>
      <w:b/>
      <w:bCs/>
    </w:rPr>
  </w:style>
  <w:style w:type="character" w:styleId="Emphasis">
    <w:name w:val="Emphasis"/>
    <w:uiPriority w:val="20"/>
    <w:qFormat/>
    <w:rsid w:val="00F03C11"/>
    <w:rPr>
      <w:b/>
      <w:bCs/>
      <w:i/>
      <w:iCs/>
      <w:spacing w:val="10"/>
      <w:bdr w:val="none" w:sz="0" w:space="0" w:color="auto"/>
      <w:shd w:val="clear" w:color="auto" w:fill="auto"/>
    </w:rPr>
  </w:style>
  <w:style w:type="paragraph" w:styleId="NoSpacing">
    <w:name w:val="No Spacing"/>
    <w:basedOn w:val="Normal"/>
    <w:uiPriority w:val="1"/>
    <w:qFormat/>
    <w:rsid w:val="00F03C11"/>
  </w:style>
  <w:style w:type="paragraph" w:styleId="ListParagraph">
    <w:name w:val="List Paragraph"/>
    <w:basedOn w:val="Normal"/>
    <w:uiPriority w:val="34"/>
    <w:qFormat/>
    <w:rsid w:val="0052776A"/>
    <w:pPr>
      <w:numPr>
        <w:numId w:val="23"/>
      </w:numPr>
      <w:autoSpaceDE w:val="0"/>
      <w:autoSpaceDN w:val="0"/>
      <w:adjustRightInd w:val="0"/>
      <w:spacing w:after="120"/>
    </w:pPr>
    <w:rPr>
      <w:rFonts w:cs="Arial"/>
      <w:b/>
      <w:lang w:bidi="ar-SA"/>
    </w:rPr>
  </w:style>
  <w:style w:type="paragraph" w:styleId="Quote">
    <w:name w:val="Quote"/>
    <w:basedOn w:val="Normal"/>
    <w:next w:val="Normal"/>
    <w:link w:val="QuoteChar"/>
    <w:uiPriority w:val="29"/>
    <w:qFormat/>
    <w:rsid w:val="00F03C11"/>
    <w:pPr>
      <w:spacing w:before="200"/>
      <w:ind w:left="360" w:right="360"/>
    </w:pPr>
    <w:rPr>
      <w:i/>
      <w:iCs/>
    </w:rPr>
  </w:style>
  <w:style w:type="character" w:customStyle="1" w:styleId="QuoteChar">
    <w:name w:val="Quote Char"/>
    <w:basedOn w:val="DefaultParagraphFont"/>
    <w:link w:val="Quote"/>
    <w:uiPriority w:val="29"/>
    <w:rsid w:val="00F03C11"/>
    <w:rPr>
      <w:i/>
      <w:iCs/>
    </w:rPr>
  </w:style>
  <w:style w:type="paragraph" w:styleId="IntenseQuote">
    <w:name w:val="Intense Quote"/>
    <w:basedOn w:val="Normal"/>
    <w:next w:val="Normal"/>
    <w:link w:val="IntenseQuoteChar"/>
    <w:uiPriority w:val="30"/>
    <w:qFormat/>
    <w:rsid w:val="00F03C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03C11"/>
    <w:rPr>
      <w:b/>
      <w:bCs/>
      <w:i/>
      <w:iCs/>
    </w:rPr>
  </w:style>
  <w:style w:type="character" w:styleId="SubtleEmphasis">
    <w:name w:val="Subtle Emphasis"/>
    <w:uiPriority w:val="19"/>
    <w:qFormat/>
    <w:rsid w:val="00F03C11"/>
    <w:rPr>
      <w:i/>
      <w:iCs/>
    </w:rPr>
  </w:style>
  <w:style w:type="character" w:styleId="IntenseEmphasis">
    <w:name w:val="Intense Emphasis"/>
    <w:uiPriority w:val="21"/>
    <w:qFormat/>
    <w:rsid w:val="00F03C11"/>
    <w:rPr>
      <w:b/>
      <w:bCs/>
    </w:rPr>
  </w:style>
  <w:style w:type="character" w:styleId="SubtleReference">
    <w:name w:val="Subtle Reference"/>
    <w:uiPriority w:val="31"/>
    <w:qFormat/>
    <w:rsid w:val="00F03C11"/>
    <w:rPr>
      <w:smallCaps/>
    </w:rPr>
  </w:style>
  <w:style w:type="character" w:styleId="IntenseReference">
    <w:name w:val="Intense Reference"/>
    <w:uiPriority w:val="32"/>
    <w:qFormat/>
    <w:rsid w:val="00F03C11"/>
    <w:rPr>
      <w:smallCaps/>
      <w:spacing w:val="5"/>
      <w:u w:val="single"/>
    </w:rPr>
  </w:style>
  <w:style w:type="character" w:styleId="BookTitle">
    <w:name w:val="Book Title"/>
    <w:uiPriority w:val="33"/>
    <w:qFormat/>
    <w:rsid w:val="00F03C11"/>
    <w:rPr>
      <w:i/>
      <w:iCs/>
      <w:smallCaps/>
      <w:spacing w:val="5"/>
    </w:rPr>
  </w:style>
  <w:style w:type="paragraph" w:styleId="TOCHeading">
    <w:name w:val="TOC Heading"/>
    <w:basedOn w:val="Heading1"/>
    <w:next w:val="Normal"/>
    <w:uiPriority w:val="39"/>
    <w:semiHidden/>
    <w:unhideWhenUsed/>
    <w:qFormat/>
    <w:rsid w:val="00F03C11"/>
    <w:pPr>
      <w:outlineLvl w:val="9"/>
    </w:pPr>
  </w:style>
  <w:style w:type="paragraph" w:customStyle="1" w:styleId="Default">
    <w:name w:val="Default"/>
    <w:rsid w:val="005D2846"/>
    <w:pPr>
      <w:autoSpaceDE w:val="0"/>
      <w:autoSpaceDN w:val="0"/>
      <w:adjustRightInd w:val="0"/>
    </w:pPr>
    <w:rPr>
      <w:rFonts w:ascii="Arial" w:hAnsi="Arial" w:cs="Arial"/>
      <w:color w:val="000000"/>
      <w:sz w:val="24"/>
      <w:szCs w:val="24"/>
      <w:lang w:bidi="ar-SA"/>
    </w:rPr>
  </w:style>
  <w:style w:type="paragraph" w:styleId="Header">
    <w:name w:val="header"/>
    <w:basedOn w:val="Default"/>
    <w:next w:val="Default"/>
    <w:link w:val="HeaderChar"/>
    <w:rsid w:val="005D2846"/>
    <w:rPr>
      <w:color w:val="auto"/>
    </w:rPr>
  </w:style>
  <w:style w:type="character" w:customStyle="1" w:styleId="HeaderChar">
    <w:name w:val="Header Char"/>
    <w:basedOn w:val="DefaultParagraphFont"/>
    <w:link w:val="Header"/>
    <w:uiPriority w:val="99"/>
    <w:rsid w:val="005D2846"/>
    <w:rPr>
      <w:rFonts w:ascii="Arial" w:hAnsi="Arial" w:cs="Arial"/>
      <w:sz w:val="24"/>
      <w:szCs w:val="24"/>
      <w:lang w:bidi="ar-SA"/>
    </w:rPr>
  </w:style>
  <w:style w:type="character" w:styleId="Hyperlink">
    <w:name w:val="Hyperlink"/>
    <w:basedOn w:val="DefaultParagraphFont"/>
    <w:rsid w:val="005D2846"/>
    <w:rPr>
      <w:color w:val="0000FF"/>
      <w:u w:val="single"/>
    </w:rPr>
  </w:style>
  <w:style w:type="paragraph" w:customStyle="1" w:styleId="PolicyHeading1">
    <w:name w:val="Policy Heading 1"/>
    <w:basedOn w:val="Heading1"/>
    <w:next w:val="Heading1"/>
    <w:autoRedefine/>
    <w:rsid w:val="0052776A"/>
    <w:pPr>
      <w:keepNext/>
      <w:spacing w:before="240" w:after="240"/>
      <w:contextualSpacing w:val="0"/>
      <w:jc w:val="center"/>
    </w:pPr>
    <w:rPr>
      <w:rFonts w:ascii="Arial" w:eastAsia="Times New Roman" w:hAnsi="Arial" w:cs="Times New Roman"/>
      <w:b/>
      <w:bCs w:val="0"/>
      <w:sz w:val="24"/>
      <w:szCs w:val="20"/>
      <w:lang w:bidi="ar-SA"/>
    </w:rPr>
  </w:style>
  <w:style w:type="table" w:styleId="TableGrid">
    <w:name w:val="Table Grid"/>
    <w:basedOn w:val="TableNormal"/>
    <w:uiPriority w:val="59"/>
    <w:rsid w:val="0071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2F62"/>
    <w:rPr>
      <w:rFonts w:eastAsia="Times New Roman" w:cs="Times New Roman"/>
      <w:b/>
      <w:sz w:val="24"/>
      <w:szCs w:val="20"/>
      <w:lang w:bidi="ar-SA"/>
    </w:rPr>
  </w:style>
  <w:style w:type="character" w:customStyle="1" w:styleId="BodyTextChar">
    <w:name w:val="Body Text Char"/>
    <w:basedOn w:val="DefaultParagraphFont"/>
    <w:link w:val="BodyText"/>
    <w:rsid w:val="00112F62"/>
    <w:rPr>
      <w:rFonts w:ascii="Arial" w:eastAsia="Times New Roman" w:hAnsi="Arial" w:cs="Times New Roman"/>
      <w:b/>
      <w:sz w:val="24"/>
      <w:szCs w:val="20"/>
      <w:lang w:bidi="ar-SA"/>
    </w:rPr>
  </w:style>
  <w:style w:type="paragraph" w:styleId="Footer">
    <w:name w:val="footer"/>
    <w:basedOn w:val="Normal"/>
    <w:link w:val="FooterChar"/>
    <w:uiPriority w:val="99"/>
    <w:unhideWhenUsed/>
    <w:rsid w:val="004708BA"/>
    <w:pPr>
      <w:tabs>
        <w:tab w:val="center" w:pos="4680"/>
        <w:tab w:val="right" w:pos="9360"/>
      </w:tabs>
    </w:pPr>
  </w:style>
  <w:style w:type="character" w:customStyle="1" w:styleId="FooterChar">
    <w:name w:val="Footer Char"/>
    <w:basedOn w:val="DefaultParagraphFont"/>
    <w:link w:val="Footer"/>
    <w:uiPriority w:val="99"/>
    <w:rsid w:val="004708BA"/>
  </w:style>
  <w:style w:type="character" w:styleId="CommentReference">
    <w:name w:val="annotation reference"/>
    <w:basedOn w:val="DefaultParagraphFont"/>
    <w:uiPriority w:val="99"/>
    <w:semiHidden/>
    <w:unhideWhenUsed/>
    <w:rsid w:val="00BA0D74"/>
    <w:rPr>
      <w:sz w:val="16"/>
      <w:szCs w:val="16"/>
    </w:rPr>
  </w:style>
  <w:style w:type="paragraph" w:styleId="CommentText">
    <w:name w:val="annotation text"/>
    <w:basedOn w:val="Normal"/>
    <w:link w:val="CommentTextChar"/>
    <w:uiPriority w:val="99"/>
    <w:semiHidden/>
    <w:unhideWhenUsed/>
    <w:rsid w:val="00BA0D74"/>
    <w:rPr>
      <w:sz w:val="20"/>
      <w:szCs w:val="20"/>
    </w:rPr>
  </w:style>
  <w:style w:type="character" w:customStyle="1" w:styleId="CommentTextChar">
    <w:name w:val="Comment Text Char"/>
    <w:basedOn w:val="DefaultParagraphFont"/>
    <w:link w:val="CommentText"/>
    <w:uiPriority w:val="99"/>
    <w:semiHidden/>
    <w:rsid w:val="00BA0D74"/>
    <w:rPr>
      <w:sz w:val="20"/>
      <w:szCs w:val="20"/>
    </w:rPr>
  </w:style>
  <w:style w:type="paragraph" w:styleId="CommentSubject">
    <w:name w:val="annotation subject"/>
    <w:basedOn w:val="CommentText"/>
    <w:next w:val="CommentText"/>
    <w:link w:val="CommentSubjectChar"/>
    <w:uiPriority w:val="99"/>
    <w:semiHidden/>
    <w:unhideWhenUsed/>
    <w:rsid w:val="00BA0D74"/>
    <w:rPr>
      <w:b/>
      <w:bCs/>
    </w:rPr>
  </w:style>
  <w:style w:type="character" w:customStyle="1" w:styleId="CommentSubjectChar">
    <w:name w:val="Comment Subject Char"/>
    <w:basedOn w:val="CommentTextChar"/>
    <w:link w:val="CommentSubject"/>
    <w:uiPriority w:val="99"/>
    <w:semiHidden/>
    <w:rsid w:val="00BA0D74"/>
    <w:rPr>
      <w:b/>
      <w:bCs/>
      <w:sz w:val="20"/>
      <w:szCs w:val="20"/>
    </w:rPr>
  </w:style>
  <w:style w:type="paragraph" w:styleId="BalloonText">
    <w:name w:val="Balloon Text"/>
    <w:basedOn w:val="Normal"/>
    <w:link w:val="BalloonTextChar"/>
    <w:uiPriority w:val="99"/>
    <w:semiHidden/>
    <w:unhideWhenUsed/>
    <w:rsid w:val="00BA0D74"/>
    <w:rPr>
      <w:rFonts w:ascii="Tahoma" w:hAnsi="Tahoma" w:cs="Tahoma"/>
      <w:sz w:val="16"/>
      <w:szCs w:val="16"/>
    </w:rPr>
  </w:style>
  <w:style w:type="character" w:customStyle="1" w:styleId="BalloonTextChar">
    <w:name w:val="Balloon Text Char"/>
    <w:basedOn w:val="DefaultParagraphFont"/>
    <w:link w:val="BalloonText"/>
    <w:uiPriority w:val="99"/>
    <w:semiHidden/>
    <w:rsid w:val="00BA0D74"/>
    <w:rPr>
      <w:rFonts w:ascii="Tahoma" w:hAnsi="Tahoma" w:cs="Tahoma"/>
      <w:sz w:val="16"/>
      <w:szCs w:val="16"/>
    </w:rPr>
  </w:style>
  <w:style w:type="paragraph" w:styleId="Revision">
    <w:name w:val="Revision"/>
    <w:hidden/>
    <w:uiPriority w:val="99"/>
    <w:semiHidden/>
    <w:rsid w:val="00AE246F"/>
  </w:style>
  <w:style w:type="paragraph" w:customStyle="1" w:styleId="ListParagraph2">
    <w:name w:val="List Paragraph 2"/>
    <w:basedOn w:val="ListParagraph"/>
    <w:qFormat/>
    <w:rsid w:val="00B737B1"/>
    <w:pPr>
      <w:numPr>
        <w:ilvl w:val="1"/>
      </w:numPr>
      <w:spacing w:after="60"/>
      <w:ind w:left="900" w:hanging="540"/>
    </w:pPr>
    <w:rPr>
      <w:b w:val="0"/>
    </w:rPr>
  </w:style>
  <w:style w:type="paragraph" w:customStyle="1" w:styleId="Listparagraphbullet">
    <w:name w:val="List paragraph bullet"/>
    <w:basedOn w:val="ListParagraph2"/>
    <w:qFormat/>
    <w:rsid w:val="00AA626B"/>
    <w:pPr>
      <w:numPr>
        <w:ilvl w:val="0"/>
        <w:numId w:val="29"/>
      </w:numPr>
    </w:pPr>
  </w:style>
  <w:style w:type="character" w:styleId="PlaceholderText">
    <w:name w:val="Placeholder Text"/>
    <w:basedOn w:val="DefaultParagraphFont"/>
    <w:uiPriority w:val="99"/>
    <w:semiHidden/>
    <w:rsid w:val="00857199"/>
    <w:rPr>
      <w:color w:val="808080"/>
    </w:rPr>
  </w:style>
  <w:style w:type="character" w:styleId="FollowedHyperlink">
    <w:name w:val="FollowedHyperlink"/>
    <w:basedOn w:val="DefaultParagraphFont"/>
    <w:uiPriority w:val="99"/>
    <w:semiHidden/>
    <w:unhideWhenUsed/>
    <w:rsid w:val="002A1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o.wa.gov/policy/it-investments-approval-and-oversight-policy" TargetMode="External"/><Relationship Id="rId13" Type="http://schemas.openxmlformats.org/officeDocument/2006/relationships/hyperlink" Target="https://ocio.wa.gov/policy/pc-procurement-guidelin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ocio.wa.gov/policy/201-personal-computer-pc-procurement-policy" TargetMode="External"/><Relationship Id="rId12" Type="http://schemas.openxmlformats.org/officeDocument/2006/relationships/hyperlink" Target="http://www.ofm.wa.gov/policy/30.20.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o.wa.gov/policy/pc-procurement-guideli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cio.wa.gov/policy/pc-procurement-guideline" TargetMode="External"/><Relationship Id="rId23" Type="http://schemas.openxmlformats.org/officeDocument/2006/relationships/glossaryDocument" Target="glossary/document.xml"/><Relationship Id="rId10" Type="http://schemas.openxmlformats.org/officeDocument/2006/relationships/hyperlink" Target="https://ocio.wa.gov/policy/pc-procurement-guideli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es.wa.gov/services/contracting-purchasing/it-contracts-purchasing/technology-master-contracts" TargetMode="External"/><Relationship Id="rId14" Type="http://schemas.openxmlformats.org/officeDocument/2006/relationships/hyperlink" Target="https://ocio.wa.gov/policy/pc-procurement-guidelin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berlyc\Application%20Data\Microsoft\Templates\OCIO%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AB"/>
    <w:rsid w:val="00077ECD"/>
    <w:rsid w:val="0074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4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OCIO policy</Template>
  <TotalTime>9</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Providing Quality Assurance</vt:lpstr>
    </vt:vector>
  </TitlesOfParts>
  <Company>Office of Financial Management, State of Washington</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Quality Assurance</dc:title>
  <dc:subject>OCIO Policy</dc:subject>
  <dc:creator>kimberlyc</dc:creator>
  <cp:keywords>QA</cp:keywords>
  <cp:lastModifiedBy>Webster, Cammy (OCIO)</cp:lastModifiedBy>
  <cp:revision>6</cp:revision>
  <cp:lastPrinted>2013-10-30T00:55:00Z</cp:lastPrinted>
  <dcterms:created xsi:type="dcterms:W3CDTF">2019-10-07T04:13:00Z</dcterms:created>
  <dcterms:modified xsi:type="dcterms:W3CDTF">2019-10-07T04:23:00Z</dcterms:modified>
</cp:coreProperties>
</file>